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B56D8" w14:textId="6F0DFBE7" w:rsidR="00473C9B" w:rsidRDefault="00473C9B">
      <w:pPr>
        <w:rPr>
          <w:sz w:val="24"/>
          <w:szCs w:val="24"/>
        </w:rPr>
      </w:pPr>
    </w:p>
    <w:p w14:paraId="3CAFA750" w14:textId="56C05A2F" w:rsidR="00473C9B" w:rsidRDefault="00473C9B" w:rsidP="00473C9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  <w:r w:rsidRPr="002B36F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SOLICITUD DE EVALUACIÓN DE TFM</w:t>
      </w:r>
    </w:p>
    <w:p w14:paraId="39B271DE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0DC72845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2C6091A5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0FC031B9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73C9B">
        <w:rPr>
          <w:sz w:val="24"/>
          <w:szCs w:val="24"/>
          <w:u w:val="single"/>
        </w:rPr>
        <w:t>DATOS DEL ESTUDI</w:t>
      </w:r>
      <w:r>
        <w:rPr>
          <w:sz w:val="24"/>
          <w:szCs w:val="24"/>
        </w:rPr>
        <w:t>ANTE</w:t>
      </w:r>
    </w:p>
    <w:p w14:paraId="5B404452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B89EDE2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 y nombre:</w:t>
      </w:r>
    </w:p>
    <w:p w14:paraId="0577C6C1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DNI:  </w:t>
      </w:r>
    </w:p>
    <w:p w14:paraId="5F1090CF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Domicilio:</w:t>
      </w:r>
    </w:p>
    <w:p w14:paraId="199045F8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Población </w:t>
      </w:r>
    </w:p>
    <w:p w14:paraId="4ED8FCBB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Código Postal</w:t>
      </w:r>
    </w:p>
    <w:p w14:paraId="75647044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Correo electrónico</w:t>
      </w:r>
    </w:p>
    <w:p w14:paraId="2933D4D8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Teléfono: </w:t>
      </w:r>
    </w:p>
    <w:p w14:paraId="44792AED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770925F" w14:textId="77777777" w:rsidR="00473C9B" w:rsidRP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473C9B">
        <w:rPr>
          <w:sz w:val="24"/>
          <w:szCs w:val="24"/>
          <w:u w:val="single"/>
        </w:rPr>
        <w:t>DATOS DEL TUTOR/ES</w:t>
      </w:r>
    </w:p>
    <w:p w14:paraId="34AC4345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F9D722D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 y nombre:</w:t>
      </w:r>
    </w:p>
    <w:p w14:paraId="66320675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Correo electrónico:</w:t>
      </w:r>
    </w:p>
    <w:p w14:paraId="282E95BD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Teléfono:</w:t>
      </w:r>
    </w:p>
    <w:p w14:paraId="1E334855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34A8286" w14:textId="313E6E15" w:rsidR="00E34F4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estudiante, en el TFM titulado…………………………………………………</w:t>
      </w:r>
      <w:r w:rsidR="00CE19C0">
        <w:rPr>
          <w:sz w:val="24"/>
          <w:szCs w:val="24"/>
        </w:rPr>
        <w:t>..</w:t>
      </w:r>
    </w:p>
    <w:p w14:paraId="7AAC789D" w14:textId="77777777" w:rsidR="00E34F4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88AE1EB" w14:textId="2C7E0C59" w:rsidR="00E34F4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4F4B">
        <w:rPr>
          <w:sz w:val="24"/>
          <w:szCs w:val="24"/>
        </w:rPr>
        <w:t xml:space="preserve">declara haber profundizado en las </w:t>
      </w:r>
      <w:proofErr w:type="gramStart"/>
      <w:r w:rsidR="00E34F4B">
        <w:rPr>
          <w:sz w:val="24"/>
          <w:szCs w:val="24"/>
        </w:rPr>
        <w:t>siguiente competencias específicas</w:t>
      </w:r>
      <w:proofErr w:type="gramEnd"/>
      <w:r w:rsidR="00E34F4B">
        <w:rPr>
          <w:sz w:val="24"/>
          <w:szCs w:val="24"/>
        </w:rPr>
        <w:t xml:space="preserve"> (marcar lo que corresponda)</w:t>
      </w:r>
    </w:p>
    <w:p w14:paraId="57B4EAA5" w14:textId="7660E54A" w:rsidR="00E34F4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14:paraId="5C8A63DF" w14:textId="77777777" w:rsidR="00B86C1B" w:rsidRDefault="00B86C1B" w:rsidP="00B86C1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8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1"/>
        <w:gridCol w:w="983"/>
      </w:tblGrid>
      <w:tr w:rsidR="00B86C1B" w:rsidRPr="00A829C7" w14:paraId="2C34AB7E" w14:textId="77777777" w:rsidTr="00FF58F4">
        <w:trPr>
          <w:trHeight w:val="327"/>
          <w:tblHeader/>
        </w:trPr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265853" w14:textId="77777777" w:rsidR="00B86C1B" w:rsidRPr="00A829C7" w:rsidRDefault="00B86C1B" w:rsidP="00FF58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"/>
              </w:rPr>
              <w:t>Denominación de competencias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73ABA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Validación</w:t>
            </w:r>
          </w:p>
        </w:tc>
      </w:tr>
      <w:tr w:rsidR="00B86C1B" w:rsidRPr="00A829C7" w14:paraId="08ACC65A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C3E8" w14:textId="77777777" w:rsidR="00B86C1B" w:rsidRPr="00A829C7" w:rsidRDefault="00B86C1B" w:rsidP="00FF58F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CE1. </w:t>
            </w:r>
            <w:proofErr w:type="gram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Conocer  los</w:t>
            </w:r>
            <w:proofErr w:type="gram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avances en las matemáticas de las operaciones financieras y su aplicación  a la contabilidad, a las finanzas y a la auditoría y resolver problemas en situaciones nuevas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91E4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6E91C3E7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1B19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CE</w:t>
            </w:r>
            <w:proofErr w:type="gram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2 .</w:t>
            </w:r>
            <w:proofErr w:type="gram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Conocer las nuevas técnicas de cálculo actuarial aplicables a la contabilidad y a las finanzas de la empresa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74F5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19445C73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5A25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CE3 - Capacidad para identificar relaciones y asociaciones en el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análisis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datos en el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ámbito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empresarial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2690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75ADBBAF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5E3F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CE4 - Capacidad para el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diseño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construcción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validación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crítica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indicadores simples y compuestos en el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ámbito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económico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y empresarial que faciliten el proceso de toma de decisiones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991C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37FA0096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3B9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CE5 - Capacidad para aplicar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técnicas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muestreo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estadístico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en la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auditoría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las cuentas anuales.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7074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59D2EB0B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4A72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CE6 - Conocer las nuevas tendencias en instrumentos de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inversión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financiación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las empresas.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39F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1874F40C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EE80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CE7 - Saber gestionar las variaciones del tipo de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interés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4E63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20230892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4028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CE8 - Conocer las implicaciones de la estructura temporal de los tipos de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interés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2988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5DC814D4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B6C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CE9 - Capacidad para valorar instrumentos financieros derivados.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ABE4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63DE7DCA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0266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CE10 - Capacidad para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diseñar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estrategias financieras.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E6C8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0B23D55E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A73D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 xml:space="preserve">CE11 - Capacidad para aplicar estrategias de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gestión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integral del riesgo, efectuando un seguimiento de los mismos y de las contingencias financieras.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ED6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6D9E211D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0A8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CE12 - Conocer los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últimos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pronunciamientos de las Normas Internacionales de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Información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Financiera (NIIF) y de las Normas Internacionales de Contabilidad (NIC) y su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aplicación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en la contabilidad empresarial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F00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0EB578C7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45A0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CE13 - Conocer otros marcos normativos de información financiera y de situaciones concursales.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0122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59F7C3DF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34D8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CE14 - Capacidad para aplicar las innovaciones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metodológicas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técnicas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y de procedimiento en la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gestión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costes y presupuestos.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3868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031DAF92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36E7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CE</w:t>
            </w:r>
            <w:proofErr w:type="gram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15 </w:t>
            </w:r>
            <w:r w:rsidRPr="00A829C7">
              <w:rPr>
                <w:rFonts w:eastAsia="Times New Roman" w:cstheme="minorHAnsi"/>
                <w:strike/>
                <w:sz w:val="20"/>
                <w:szCs w:val="20"/>
                <w:lang w:eastAsia="es-ES"/>
              </w:rPr>
              <w:t xml:space="preserve"> </w:t>
            </w: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Conocer</w:t>
            </w:r>
            <w:proofErr w:type="gram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las características, riesgos y aspectos esenciales de los productos de inversión y los costes y gastos asociados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FD2E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26C4460E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300F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CE16 - Conocer, comprender y saber aplicar las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técnicas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valoración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empresas y evaluar su utilidad en la planificación y análisis de riesgos e incertidumbre en auditoría.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75E3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604C73CA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5097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CE17 - Saber realizar planes de viabilidad empresarial.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91F7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27A4C2E3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FC06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CE18 - Conocer, comprender y saber aplicar los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métodos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Consolidación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Estados Contables.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64BF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746551D3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4D96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CE19 </w:t>
            </w:r>
            <w:proofErr w:type="gram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-</w:t>
            </w:r>
            <w:r w:rsidRPr="00A829C7">
              <w:rPr>
                <w:rFonts w:eastAsia="Times New Roman" w:cstheme="minorHAnsi"/>
                <w:strike/>
                <w:sz w:val="20"/>
                <w:szCs w:val="20"/>
                <w:lang w:eastAsia="es-ES"/>
              </w:rPr>
              <w:t>.</w:t>
            </w: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Conocer</w:t>
            </w:r>
            <w:proofErr w:type="gram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el funcionamiento de los mercados financiero y cómo afectan al valor y fijación de precios de los productos de inversión.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6C80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613237A2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812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CE20 - Capacidad para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diseñar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operaciones de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planificación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fiscal complejas considerando las diversas opciones tributarias.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C473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035AEB07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31B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CE21 </w:t>
            </w:r>
            <w:proofErr w:type="gram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-</w:t>
            </w:r>
            <w:r w:rsidRPr="00A829C7">
              <w:rPr>
                <w:rFonts w:eastAsia="Times New Roman" w:cstheme="minorHAnsi"/>
                <w:strike/>
                <w:sz w:val="20"/>
                <w:szCs w:val="20"/>
                <w:lang w:eastAsia="es-ES"/>
              </w:rPr>
              <w:t xml:space="preserve">  </w:t>
            </w: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Conocer</w:t>
            </w:r>
            <w:proofErr w:type="gram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suficientemente la normativa del mercado de valores y demás aspectos de interés del abuso del mercado y el blanqueo de capitales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BA2B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492E739B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1221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CE22 </w:t>
            </w:r>
            <w:proofErr w:type="gram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-</w:t>
            </w:r>
            <w:r w:rsidRPr="00A829C7">
              <w:rPr>
                <w:rFonts w:eastAsia="Times New Roman" w:cstheme="minorHAnsi"/>
                <w:strike/>
                <w:sz w:val="20"/>
                <w:szCs w:val="20"/>
                <w:lang w:eastAsia="es-ES"/>
              </w:rPr>
              <w:t xml:space="preserve">  </w:t>
            </w: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Conocer</w:t>
            </w:r>
            <w:proofErr w:type="gram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la diferencia de escenarios entre los rendimientos pasados y futuros,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asi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como las limitaciones de los pronósticos de previsión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6ABC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6F9C64B9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DBD3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CE23 - Capacidad para evaluar el peso de la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acción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tributaria en la empresa, atendiendo no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sólo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al pago de los tributos, sino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también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al conjunto de los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demás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costes indirectos que la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tributación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depara.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150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01F6F938" w14:textId="77777777" w:rsidTr="00FF58F4">
        <w:trPr>
          <w:trHeight w:val="655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052A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CE24 - Comprender el funcionamiento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sistémico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 interdependiente de una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organización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poder identificar,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diseñar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e implantar estructuras orientadas a la </w:t>
            </w:r>
            <w:proofErr w:type="spellStart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creación</w:t>
            </w:r>
            <w:proofErr w:type="spell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valor.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151E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6ECCA9F3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7A3C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CE25 </w:t>
            </w:r>
            <w:proofErr w:type="gramStart"/>
            <w:r w:rsidRPr="00A829C7">
              <w:rPr>
                <w:rFonts w:eastAsia="Times New Roman" w:cstheme="minorHAnsi"/>
                <w:strike/>
                <w:sz w:val="20"/>
                <w:szCs w:val="20"/>
                <w:lang w:eastAsia="es-ES"/>
              </w:rPr>
              <w:t xml:space="preserve">-  </w:t>
            </w: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Adquirir</w:t>
            </w:r>
            <w:proofErr w:type="gram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la capacidad de prestar asesoramiento en materia de inversión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609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7D4B3912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B195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CE26 </w:t>
            </w:r>
            <w:proofErr w:type="gramStart"/>
            <w:r w:rsidRPr="00A829C7">
              <w:rPr>
                <w:rFonts w:eastAsia="Times New Roman" w:cstheme="minorHAnsi"/>
                <w:strike/>
                <w:sz w:val="20"/>
                <w:szCs w:val="20"/>
                <w:lang w:eastAsia="es-ES"/>
              </w:rPr>
              <w:t xml:space="preserve">-  </w:t>
            </w: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>Capacidad</w:t>
            </w:r>
            <w:proofErr w:type="gramEnd"/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para el análisis e interpretación de modelos de informes financieros y no financieros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86F4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B86C1B" w:rsidRPr="00A829C7" w14:paraId="5C61C9DB" w14:textId="77777777" w:rsidTr="00FF58F4">
        <w:trPr>
          <w:trHeight w:val="327"/>
        </w:trPr>
        <w:tc>
          <w:tcPr>
            <w:tcW w:w="7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6040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CE27 Integrar los valores de la responsabilidad social corporativa en la proyección de las estrategias contempladas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42B4" w14:textId="77777777" w:rsidR="00B86C1B" w:rsidRPr="00A829C7" w:rsidRDefault="00B86C1B" w:rsidP="00FF58F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A829C7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49C2751F" w14:textId="77777777" w:rsidR="008B4ABE" w:rsidRDefault="008B4ABE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</w:p>
    <w:p w14:paraId="306AA219" w14:textId="01CC7224" w:rsidR="00473C9B" w:rsidRDefault="00E34F4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Y </w:t>
      </w:r>
      <w:r w:rsidR="00473C9B" w:rsidRPr="00473C9B">
        <w:rPr>
          <w:sz w:val="24"/>
          <w:szCs w:val="24"/>
          <w:u w:val="single"/>
        </w:rPr>
        <w:t>SOLICITA</w:t>
      </w:r>
      <w:r w:rsidR="00473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 w:rsidR="00473C9B">
        <w:rPr>
          <w:sz w:val="24"/>
          <w:szCs w:val="24"/>
        </w:rPr>
        <w:t xml:space="preserve">admisión </w:t>
      </w:r>
      <w:r>
        <w:rPr>
          <w:sz w:val="24"/>
          <w:szCs w:val="24"/>
        </w:rPr>
        <w:t>para la defensa pública</w:t>
      </w:r>
    </w:p>
    <w:p w14:paraId="64BB8ED4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OBSERVACIONES DEL TUTOR:</w:t>
      </w:r>
    </w:p>
    <w:p w14:paraId="0A6340FF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C526800" w14:textId="77777777" w:rsidR="00473C9B" w:rsidRDefault="00473C9B" w:rsidP="00473C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06C6FA3" w14:textId="77777777" w:rsidR="002A239B" w:rsidRDefault="002A23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039D6C" w14:textId="77777777" w:rsidR="002A239B" w:rsidRDefault="002A23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Fecha y firma del estudiante.</w:t>
      </w:r>
      <w:bookmarkStart w:id="0" w:name="_GoBack"/>
      <w:bookmarkEnd w:id="0"/>
    </w:p>
    <w:p w14:paraId="228CFBA0" w14:textId="4144174E" w:rsidR="002A239B" w:rsidRDefault="002A239B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 del tutor/es</w:t>
      </w:r>
    </w:p>
    <w:p w14:paraId="5C138F34" w14:textId="77777777" w:rsidR="00760CEE" w:rsidRDefault="00760CEE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569B0D4" w14:textId="77777777" w:rsidR="00760CEE" w:rsidRDefault="00760CEE" w:rsidP="002A239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67BE995" w14:textId="51C3A6F8" w:rsidR="002F104F" w:rsidRPr="00A73D0D" w:rsidRDefault="00760CEE" w:rsidP="00B86C1B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73C9B">
        <w:rPr>
          <w:b/>
          <w:sz w:val="24"/>
          <w:szCs w:val="24"/>
        </w:rPr>
        <w:t xml:space="preserve">SR. DIRECTOR DEL MÁSTER </w:t>
      </w:r>
      <w:r>
        <w:rPr>
          <w:b/>
          <w:sz w:val="24"/>
          <w:szCs w:val="24"/>
        </w:rPr>
        <w:t>UNIVERSITARIO EN AUDITORÍA DE CUENTAS</w:t>
      </w:r>
    </w:p>
    <w:sectPr w:rsidR="002F104F" w:rsidRPr="00A73D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6F4DF" w14:textId="77777777" w:rsidR="00A11AA8" w:rsidRDefault="00A11AA8" w:rsidP="007E6593">
      <w:pPr>
        <w:spacing w:after="0" w:line="240" w:lineRule="auto"/>
      </w:pPr>
      <w:r>
        <w:separator/>
      </w:r>
    </w:p>
  </w:endnote>
  <w:endnote w:type="continuationSeparator" w:id="0">
    <w:p w14:paraId="120B80A9" w14:textId="77777777" w:rsidR="00A11AA8" w:rsidRDefault="00A11AA8" w:rsidP="007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Linotyp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ABABF" w14:textId="77777777" w:rsidR="00A11AA8" w:rsidRDefault="00A11AA8" w:rsidP="007E6593">
      <w:pPr>
        <w:spacing w:after="0" w:line="240" w:lineRule="auto"/>
      </w:pPr>
      <w:r>
        <w:separator/>
      </w:r>
    </w:p>
  </w:footnote>
  <w:footnote w:type="continuationSeparator" w:id="0">
    <w:p w14:paraId="67DB8B0D" w14:textId="77777777" w:rsidR="00A11AA8" w:rsidRDefault="00A11AA8" w:rsidP="007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7D01" w14:textId="06DF2D06" w:rsidR="004B479E" w:rsidRDefault="00B17543" w:rsidP="006E08F8">
    <w:pPr>
      <w:pStyle w:val="Encabezado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0750B3" wp14:editId="3E07492F">
          <wp:simplePos x="0" y="0"/>
          <wp:positionH relativeFrom="column">
            <wp:posOffset>-304800</wp:posOffset>
          </wp:positionH>
          <wp:positionV relativeFrom="paragraph">
            <wp:posOffset>-259245</wp:posOffset>
          </wp:positionV>
          <wp:extent cx="1802765" cy="567055"/>
          <wp:effectExtent l="0" t="0" r="6985" b="4445"/>
          <wp:wrapTight wrapText="bothSides">
            <wp:wrapPolygon edited="0">
              <wp:start x="0" y="0"/>
              <wp:lineTo x="0" y="21044"/>
              <wp:lineTo x="21455" y="21044"/>
              <wp:lineTo x="21455" y="0"/>
              <wp:lineTo x="0" y="0"/>
            </wp:wrapPolygon>
          </wp:wrapTight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76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8F8">
      <w:t xml:space="preserve">   </w:t>
    </w:r>
  </w:p>
  <w:p w14:paraId="17844649" w14:textId="77777777" w:rsidR="006E08F8" w:rsidRDefault="006E08F8" w:rsidP="006E08F8">
    <w:pPr>
      <w:pStyle w:val="Encabezado"/>
      <w:ind w:left="-567"/>
    </w:pPr>
  </w:p>
  <w:p w14:paraId="48892DCB" w14:textId="77777777" w:rsidR="006E08F8" w:rsidRPr="006E08F8" w:rsidRDefault="006E08F8" w:rsidP="006E08F8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EEF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8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92E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8647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13FAA"/>
    <w:multiLevelType w:val="hybridMultilevel"/>
    <w:tmpl w:val="16FE69AC"/>
    <w:lvl w:ilvl="0" w:tplc="4B6AA456">
      <w:start w:val="2"/>
      <w:numFmt w:val="bullet"/>
      <w:lvlText w:val="-"/>
      <w:lvlJc w:val="left"/>
      <w:pPr>
        <w:ind w:left="720" w:hanging="360"/>
      </w:pPr>
      <w:rPr>
        <w:rFonts w:ascii="Calibri" w:eastAsia="PalatinoLinotype" w:hAnsi="Calibri" w:cs="Palatino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F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82D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961599"/>
    <w:multiLevelType w:val="multilevel"/>
    <w:tmpl w:val="0C0A001D"/>
    <w:numStyleLink w:val="Estilo1"/>
  </w:abstractNum>
  <w:abstractNum w:abstractNumId="8" w15:restartNumberingAfterBreak="0">
    <w:nsid w:val="25D63382"/>
    <w:multiLevelType w:val="multilevel"/>
    <w:tmpl w:val="0C0A001D"/>
    <w:numStyleLink w:val="Estilo1"/>
  </w:abstractNum>
  <w:abstractNum w:abstractNumId="9" w15:restartNumberingAfterBreak="0">
    <w:nsid w:val="2C3227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061C55"/>
    <w:multiLevelType w:val="hybridMultilevel"/>
    <w:tmpl w:val="303E4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380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100B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FE537B"/>
    <w:multiLevelType w:val="multilevel"/>
    <w:tmpl w:val="0C0A001D"/>
    <w:styleLink w:val="Estilo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5B241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91B1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9B556E"/>
    <w:multiLevelType w:val="multilevel"/>
    <w:tmpl w:val="0C0A001D"/>
    <w:styleLink w:val="Estilo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671D45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A5117E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626B1D"/>
    <w:multiLevelType w:val="multilevel"/>
    <w:tmpl w:val="3BB6286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10709E"/>
    <w:multiLevelType w:val="multilevel"/>
    <w:tmpl w:val="0C0A001D"/>
    <w:numStyleLink w:val="Estilo1"/>
  </w:abstractNum>
  <w:abstractNum w:abstractNumId="21" w15:restartNumberingAfterBreak="0">
    <w:nsid w:val="687A519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B82E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3A4F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F4C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D14203"/>
    <w:multiLevelType w:val="hybridMultilevel"/>
    <w:tmpl w:val="D3922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5"/>
  </w:num>
  <w:num w:numId="4">
    <w:abstractNumId w:val="7"/>
  </w:num>
  <w:num w:numId="5">
    <w:abstractNumId w:val="20"/>
  </w:num>
  <w:num w:numId="6">
    <w:abstractNumId w:val="13"/>
  </w:num>
  <w:num w:numId="7">
    <w:abstractNumId w:val="12"/>
  </w:num>
  <w:num w:numId="8">
    <w:abstractNumId w:val="17"/>
  </w:num>
  <w:num w:numId="9">
    <w:abstractNumId w:val="10"/>
  </w:num>
  <w:num w:numId="10">
    <w:abstractNumId w:val="18"/>
  </w:num>
  <w:num w:numId="11">
    <w:abstractNumId w:val="6"/>
  </w:num>
  <w:num w:numId="12">
    <w:abstractNumId w:val="22"/>
  </w:num>
  <w:num w:numId="13">
    <w:abstractNumId w:val="3"/>
  </w:num>
  <w:num w:numId="14">
    <w:abstractNumId w:val="21"/>
  </w:num>
  <w:num w:numId="15">
    <w:abstractNumId w:val="11"/>
  </w:num>
  <w:num w:numId="16">
    <w:abstractNumId w:val="2"/>
  </w:num>
  <w:num w:numId="17">
    <w:abstractNumId w:val="23"/>
  </w:num>
  <w:num w:numId="18">
    <w:abstractNumId w:val="5"/>
  </w:num>
  <w:num w:numId="19">
    <w:abstractNumId w:val="1"/>
  </w:num>
  <w:num w:numId="20">
    <w:abstractNumId w:val="15"/>
  </w:num>
  <w:num w:numId="21">
    <w:abstractNumId w:val="19"/>
  </w:num>
  <w:num w:numId="22">
    <w:abstractNumId w:val="24"/>
  </w:num>
  <w:num w:numId="23">
    <w:abstractNumId w:val="4"/>
  </w:num>
  <w:num w:numId="24">
    <w:abstractNumId w:val="9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93"/>
    <w:rsid w:val="00004F1F"/>
    <w:rsid w:val="00032BE2"/>
    <w:rsid w:val="0005533F"/>
    <w:rsid w:val="000860A5"/>
    <w:rsid w:val="000A2FEB"/>
    <w:rsid w:val="000A5B6B"/>
    <w:rsid w:val="000A5FF5"/>
    <w:rsid w:val="00120FDF"/>
    <w:rsid w:val="001A7610"/>
    <w:rsid w:val="002109BA"/>
    <w:rsid w:val="00213036"/>
    <w:rsid w:val="00271EC3"/>
    <w:rsid w:val="002A11C1"/>
    <w:rsid w:val="002A239B"/>
    <w:rsid w:val="002B36FD"/>
    <w:rsid w:val="002F104F"/>
    <w:rsid w:val="00305073"/>
    <w:rsid w:val="003062FB"/>
    <w:rsid w:val="00310407"/>
    <w:rsid w:val="003157A8"/>
    <w:rsid w:val="00320026"/>
    <w:rsid w:val="00353CF6"/>
    <w:rsid w:val="00364597"/>
    <w:rsid w:val="00381976"/>
    <w:rsid w:val="003831B2"/>
    <w:rsid w:val="00385D2E"/>
    <w:rsid w:val="00392B2E"/>
    <w:rsid w:val="003E69E5"/>
    <w:rsid w:val="004074E2"/>
    <w:rsid w:val="0044746F"/>
    <w:rsid w:val="00473C9B"/>
    <w:rsid w:val="004A1490"/>
    <w:rsid w:val="004B479E"/>
    <w:rsid w:val="004B6FE3"/>
    <w:rsid w:val="004C0475"/>
    <w:rsid w:val="004C59B8"/>
    <w:rsid w:val="004D62CC"/>
    <w:rsid w:val="004E5A6D"/>
    <w:rsid w:val="005227A9"/>
    <w:rsid w:val="0052525C"/>
    <w:rsid w:val="0055173F"/>
    <w:rsid w:val="00553867"/>
    <w:rsid w:val="00572830"/>
    <w:rsid w:val="00583686"/>
    <w:rsid w:val="005965D6"/>
    <w:rsid w:val="005D0E78"/>
    <w:rsid w:val="0061270F"/>
    <w:rsid w:val="00653BCB"/>
    <w:rsid w:val="00653C85"/>
    <w:rsid w:val="00675BC0"/>
    <w:rsid w:val="006E08F8"/>
    <w:rsid w:val="006E254B"/>
    <w:rsid w:val="006E5B6F"/>
    <w:rsid w:val="0074716A"/>
    <w:rsid w:val="00760CEE"/>
    <w:rsid w:val="007843DC"/>
    <w:rsid w:val="007900F8"/>
    <w:rsid w:val="007B615D"/>
    <w:rsid w:val="007E6593"/>
    <w:rsid w:val="0081410F"/>
    <w:rsid w:val="00846D60"/>
    <w:rsid w:val="00892339"/>
    <w:rsid w:val="008A48C7"/>
    <w:rsid w:val="008B4ABE"/>
    <w:rsid w:val="008E5032"/>
    <w:rsid w:val="008E7C57"/>
    <w:rsid w:val="00975455"/>
    <w:rsid w:val="00986AD1"/>
    <w:rsid w:val="009A7380"/>
    <w:rsid w:val="009F41D3"/>
    <w:rsid w:val="00A11AA8"/>
    <w:rsid w:val="00A124DE"/>
    <w:rsid w:val="00A26BBE"/>
    <w:rsid w:val="00A30723"/>
    <w:rsid w:val="00A375D9"/>
    <w:rsid w:val="00A66471"/>
    <w:rsid w:val="00A73D0D"/>
    <w:rsid w:val="00A84432"/>
    <w:rsid w:val="00AB44CF"/>
    <w:rsid w:val="00B17543"/>
    <w:rsid w:val="00B441AB"/>
    <w:rsid w:val="00B65474"/>
    <w:rsid w:val="00B86C1B"/>
    <w:rsid w:val="00BB5C9A"/>
    <w:rsid w:val="00BF3E4B"/>
    <w:rsid w:val="00BF51AC"/>
    <w:rsid w:val="00C0079F"/>
    <w:rsid w:val="00C20B45"/>
    <w:rsid w:val="00C92BAF"/>
    <w:rsid w:val="00CC4205"/>
    <w:rsid w:val="00CD7598"/>
    <w:rsid w:val="00CE19C0"/>
    <w:rsid w:val="00D116A3"/>
    <w:rsid w:val="00DA3964"/>
    <w:rsid w:val="00E31A1B"/>
    <w:rsid w:val="00E34F4B"/>
    <w:rsid w:val="00E3742F"/>
    <w:rsid w:val="00EB60CD"/>
    <w:rsid w:val="00EC5AAB"/>
    <w:rsid w:val="00F534F1"/>
    <w:rsid w:val="00F75758"/>
    <w:rsid w:val="00F8003F"/>
    <w:rsid w:val="00F94DB9"/>
    <w:rsid w:val="00FC03B1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9FD4"/>
  <w15:docId w15:val="{BCF89FEB-3C7C-AE4D-A384-6C18111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593"/>
  </w:style>
  <w:style w:type="paragraph" w:styleId="Piedepgina">
    <w:name w:val="footer"/>
    <w:basedOn w:val="Normal"/>
    <w:link w:val="Piedepgina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593"/>
  </w:style>
  <w:style w:type="numbering" w:customStyle="1" w:styleId="Estilo1">
    <w:name w:val="Estilo1"/>
    <w:uiPriority w:val="99"/>
    <w:rsid w:val="003E69E5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3E69E5"/>
    <w:pPr>
      <w:ind w:left="720"/>
      <w:contextualSpacing/>
    </w:pPr>
  </w:style>
  <w:style w:type="numbering" w:customStyle="1" w:styleId="Estilo2">
    <w:name w:val="Estilo2"/>
    <w:uiPriority w:val="99"/>
    <w:rsid w:val="003E69E5"/>
    <w:pPr>
      <w:numPr>
        <w:numId w:val="6"/>
      </w:numPr>
    </w:pPr>
  </w:style>
  <w:style w:type="paragraph" w:styleId="Listaconvietas">
    <w:name w:val="List Bullet"/>
    <w:basedOn w:val="Normal"/>
    <w:uiPriority w:val="99"/>
    <w:unhideWhenUsed/>
    <w:rsid w:val="00FF61F0"/>
    <w:pPr>
      <w:numPr>
        <w:numId w:val="26"/>
      </w:numPr>
      <w:contextualSpacing/>
    </w:pPr>
  </w:style>
  <w:style w:type="table" w:styleId="Tablaconcuadrcula">
    <w:name w:val="Table Grid"/>
    <w:basedOn w:val="Tablanormal"/>
    <w:uiPriority w:val="59"/>
    <w:rsid w:val="00C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5A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8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8F8"/>
    <w:rPr>
      <w:rFonts w:ascii="Lucida Grande" w:hAnsi="Lucida Grande"/>
      <w:sz w:val="18"/>
      <w:szCs w:val="18"/>
    </w:rPr>
  </w:style>
  <w:style w:type="paragraph" w:styleId="Revisin">
    <w:name w:val="Revision"/>
    <w:hidden/>
    <w:uiPriority w:val="99"/>
    <w:semiHidden/>
    <w:rsid w:val="00A7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56FCE-267C-48F6-9916-6073BD3B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Carbonell, Jose Francisco</dc:creator>
  <cp:lastModifiedBy>Gonzalez Carbonell, Jose Francisco</cp:lastModifiedBy>
  <cp:revision>7</cp:revision>
  <cp:lastPrinted>2021-08-28T17:56:00Z</cp:lastPrinted>
  <dcterms:created xsi:type="dcterms:W3CDTF">2021-08-28T17:58:00Z</dcterms:created>
  <dcterms:modified xsi:type="dcterms:W3CDTF">2024-05-29T08:28:00Z</dcterms:modified>
</cp:coreProperties>
</file>